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5E" w:rsidRDefault="008E2EC2" w:rsidP="005331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35">
        <w:rPr>
          <w:rFonts w:ascii="Times New Roman" w:hAnsi="Times New Roman" w:cs="Times New Roman"/>
          <w:b/>
          <w:sz w:val="36"/>
          <w:szCs w:val="36"/>
        </w:rPr>
        <w:t xml:space="preserve">Рейтинг классов по уровням качества </w:t>
      </w:r>
      <w:proofErr w:type="spellStart"/>
      <w:r w:rsidRPr="00D53D35">
        <w:rPr>
          <w:rFonts w:ascii="Times New Roman" w:hAnsi="Times New Roman" w:cs="Times New Roman"/>
          <w:b/>
          <w:sz w:val="36"/>
          <w:szCs w:val="36"/>
        </w:rPr>
        <w:t>обученности</w:t>
      </w:r>
      <w:proofErr w:type="spellEnd"/>
    </w:p>
    <w:p w:rsidR="0053315E" w:rsidRPr="00D53D35" w:rsidRDefault="0053315E" w:rsidP="005331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3 четверть 2016-2017 учебный год</w:t>
      </w:r>
    </w:p>
    <w:tbl>
      <w:tblPr>
        <w:tblStyle w:val="a3"/>
        <w:tblW w:w="2543" w:type="pct"/>
        <w:tblInd w:w="1829" w:type="dxa"/>
        <w:tblLook w:val="04A0"/>
      </w:tblPr>
      <w:tblGrid>
        <w:gridCol w:w="3138"/>
        <w:gridCol w:w="2042"/>
        <w:gridCol w:w="2340"/>
      </w:tblGrid>
      <w:tr w:rsidR="008E2EC2" w:rsidTr="008E2EC2">
        <w:tc>
          <w:tcPr>
            <w:tcW w:w="2086" w:type="pct"/>
          </w:tcPr>
          <w:p w:rsidR="008E2EC2" w:rsidRPr="00FC1F2D" w:rsidRDefault="008E2EC2" w:rsidP="00562F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1F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Уровни качества </w:t>
            </w:r>
            <w:proofErr w:type="spellStart"/>
            <w:r w:rsidRPr="00FC1F2D">
              <w:rPr>
                <w:rFonts w:ascii="Times New Roman" w:hAnsi="Times New Roman" w:cs="Times New Roman"/>
                <w:b/>
                <w:sz w:val="32"/>
                <w:szCs w:val="32"/>
              </w:rPr>
              <w:t>обученности</w:t>
            </w:r>
            <w:proofErr w:type="spellEnd"/>
          </w:p>
        </w:tc>
        <w:tc>
          <w:tcPr>
            <w:tcW w:w="1358" w:type="pct"/>
          </w:tcPr>
          <w:p w:rsidR="008E2EC2" w:rsidRPr="00FC1F2D" w:rsidRDefault="008E2EC2" w:rsidP="00562F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1F2D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1556" w:type="pct"/>
          </w:tcPr>
          <w:p w:rsidR="008E2EC2" w:rsidRPr="00FC1F2D" w:rsidRDefault="008E2EC2" w:rsidP="00562F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1F2D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  <w:p w:rsidR="008E2EC2" w:rsidRPr="00FC1F2D" w:rsidRDefault="008E2EC2" w:rsidP="00562F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1F2D">
              <w:rPr>
                <w:rFonts w:ascii="Times New Roman" w:hAnsi="Times New Roman" w:cs="Times New Roman"/>
                <w:b/>
                <w:sz w:val="32"/>
                <w:szCs w:val="32"/>
              </w:rPr>
              <w:t>качества</w:t>
            </w:r>
          </w:p>
        </w:tc>
      </w:tr>
      <w:tr w:rsidR="0053315E" w:rsidTr="008E2EC2">
        <w:tc>
          <w:tcPr>
            <w:tcW w:w="2086" w:type="pct"/>
            <w:vMerge w:val="restart"/>
            <w:shd w:val="clear" w:color="auto" w:fill="C00000"/>
          </w:tcPr>
          <w:p w:rsidR="0053315E" w:rsidRDefault="0053315E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69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Высокий уровень</w:t>
            </w:r>
          </w:p>
          <w:p w:rsidR="0053315E" w:rsidRPr="009F69CF" w:rsidRDefault="0053315E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56% -79%</w:t>
            </w:r>
          </w:p>
        </w:tc>
        <w:tc>
          <w:tcPr>
            <w:tcW w:w="1358" w:type="pct"/>
            <w:shd w:val="clear" w:color="auto" w:fill="C00000"/>
          </w:tcPr>
          <w:p w:rsidR="0053315E" w:rsidRPr="009F69CF" w:rsidRDefault="0053315E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9F69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556" w:type="pct"/>
            <w:shd w:val="clear" w:color="auto" w:fill="C00000"/>
          </w:tcPr>
          <w:p w:rsidR="0053315E" w:rsidRPr="009F69CF" w:rsidRDefault="0053315E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79</w:t>
            </w:r>
          </w:p>
        </w:tc>
      </w:tr>
      <w:tr w:rsidR="0053315E" w:rsidTr="008E2EC2">
        <w:tc>
          <w:tcPr>
            <w:tcW w:w="2086" w:type="pct"/>
            <w:vMerge/>
            <w:shd w:val="clear" w:color="auto" w:fill="C00000"/>
          </w:tcPr>
          <w:p w:rsidR="0053315E" w:rsidRPr="009F0BF8" w:rsidRDefault="0053315E" w:rsidP="0056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pct"/>
            <w:shd w:val="clear" w:color="auto" w:fill="C00000"/>
          </w:tcPr>
          <w:p w:rsidR="0053315E" w:rsidRPr="009F69CF" w:rsidRDefault="0053315E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5в</w:t>
            </w:r>
          </w:p>
        </w:tc>
        <w:tc>
          <w:tcPr>
            <w:tcW w:w="1556" w:type="pct"/>
            <w:shd w:val="clear" w:color="auto" w:fill="C00000"/>
          </w:tcPr>
          <w:p w:rsidR="0053315E" w:rsidRPr="009F69CF" w:rsidRDefault="0053315E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68</w:t>
            </w:r>
          </w:p>
        </w:tc>
      </w:tr>
      <w:tr w:rsidR="0053315E" w:rsidTr="008E2EC2">
        <w:tc>
          <w:tcPr>
            <w:tcW w:w="2086" w:type="pct"/>
            <w:vMerge/>
            <w:shd w:val="clear" w:color="auto" w:fill="C00000"/>
          </w:tcPr>
          <w:p w:rsidR="0053315E" w:rsidRPr="009F0BF8" w:rsidRDefault="0053315E" w:rsidP="0056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pct"/>
            <w:shd w:val="clear" w:color="auto" w:fill="C00000"/>
          </w:tcPr>
          <w:p w:rsidR="0053315E" w:rsidRPr="009F69CF" w:rsidRDefault="0053315E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1556" w:type="pct"/>
            <w:shd w:val="clear" w:color="auto" w:fill="C00000"/>
          </w:tcPr>
          <w:p w:rsidR="0053315E" w:rsidRPr="009F69CF" w:rsidRDefault="0053315E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69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53315E" w:rsidTr="008E2EC2">
        <w:tc>
          <w:tcPr>
            <w:tcW w:w="2086" w:type="pct"/>
            <w:vMerge/>
            <w:shd w:val="clear" w:color="auto" w:fill="C00000"/>
          </w:tcPr>
          <w:p w:rsidR="0053315E" w:rsidRPr="009F0BF8" w:rsidRDefault="0053315E" w:rsidP="0056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pct"/>
            <w:shd w:val="clear" w:color="auto" w:fill="C00000"/>
          </w:tcPr>
          <w:p w:rsidR="0053315E" w:rsidRPr="009F69CF" w:rsidRDefault="0053315E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6в</w:t>
            </w:r>
          </w:p>
        </w:tc>
        <w:tc>
          <w:tcPr>
            <w:tcW w:w="1556" w:type="pct"/>
            <w:shd w:val="clear" w:color="auto" w:fill="C00000"/>
          </w:tcPr>
          <w:p w:rsidR="0053315E" w:rsidRPr="009F69CF" w:rsidRDefault="0053315E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</w:t>
            </w:r>
          </w:p>
        </w:tc>
      </w:tr>
      <w:tr w:rsidR="00793324" w:rsidTr="008E2EC2">
        <w:tc>
          <w:tcPr>
            <w:tcW w:w="2086" w:type="pct"/>
            <w:vMerge w:val="restart"/>
            <w:shd w:val="clear" w:color="auto" w:fill="FFC000"/>
          </w:tcPr>
          <w:p w:rsidR="00793324" w:rsidRDefault="00793324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GoBack" w:colFirst="0" w:colLast="0"/>
            <w:r w:rsidRPr="009F69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Средний уровень</w:t>
            </w:r>
          </w:p>
          <w:p w:rsidR="00793324" w:rsidRPr="009F69CF" w:rsidRDefault="00793324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31%-55%</w:t>
            </w:r>
          </w:p>
        </w:tc>
        <w:tc>
          <w:tcPr>
            <w:tcW w:w="1358" w:type="pct"/>
            <w:shd w:val="clear" w:color="auto" w:fill="FFC000"/>
          </w:tcPr>
          <w:p w:rsidR="00793324" w:rsidRPr="009F69CF" w:rsidRDefault="00793324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1556" w:type="pct"/>
            <w:shd w:val="clear" w:color="auto" w:fill="FFC000"/>
          </w:tcPr>
          <w:p w:rsidR="00793324" w:rsidRPr="009F69CF" w:rsidRDefault="00793324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</w:tr>
      <w:bookmarkEnd w:id="0"/>
      <w:tr w:rsidR="00793324" w:rsidTr="008E2EC2">
        <w:tc>
          <w:tcPr>
            <w:tcW w:w="2086" w:type="pct"/>
            <w:vMerge/>
            <w:shd w:val="clear" w:color="auto" w:fill="FFC000"/>
          </w:tcPr>
          <w:p w:rsidR="00793324" w:rsidRPr="009F69CF" w:rsidRDefault="00793324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8" w:type="pct"/>
            <w:shd w:val="clear" w:color="auto" w:fill="FFC000"/>
          </w:tcPr>
          <w:p w:rsidR="00793324" w:rsidRPr="009F69CF" w:rsidRDefault="00793324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1556" w:type="pct"/>
            <w:shd w:val="clear" w:color="auto" w:fill="FFC000"/>
          </w:tcPr>
          <w:p w:rsidR="00793324" w:rsidRPr="009F69CF" w:rsidRDefault="00793324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</w:tr>
      <w:tr w:rsidR="00793324" w:rsidTr="008E2EC2">
        <w:tc>
          <w:tcPr>
            <w:tcW w:w="2086" w:type="pct"/>
            <w:vMerge/>
            <w:shd w:val="clear" w:color="auto" w:fill="FFC000"/>
          </w:tcPr>
          <w:p w:rsidR="00793324" w:rsidRPr="009F69CF" w:rsidRDefault="00793324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8" w:type="pct"/>
            <w:shd w:val="clear" w:color="auto" w:fill="FFC000"/>
          </w:tcPr>
          <w:p w:rsidR="00793324" w:rsidRDefault="00793324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5г</w:t>
            </w:r>
          </w:p>
        </w:tc>
        <w:tc>
          <w:tcPr>
            <w:tcW w:w="1556" w:type="pct"/>
            <w:shd w:val="clear" w:color="auto" w:fill="FFC000"/>
          </w:tcPr>
          <w:p w:rsidR="00793324" w:rsidRDefault="00793324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48</w:t>
            </w:r>
          </w:p>
        </w:tc>
      </w:tr>
      <w:tr w:rsidR="00793324" w:rsidTr="008E2EC2">
        <w:tc>
          <w:tcPr>
            <w:tcW w:w="2086" w:type="pct"/>
            <w:vMerge/>
            <w:shd w:val="clear" w:color="auto" w:fill="FFC000"/>
          </w:tcPr>
          <w:p w:rsidR="00793324" w:rsidRPr="009F69CF" w:rsidRDefault="00793324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8" w:type="pct"/>
            <w:shd w:val="clear" w:color="auto" w:fill="FFC000"/>
          </w:tcPr>
          <w:p w:rsidR="00793324" w:rsidRDefault="00793324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6г</w:t>
            </w:r>
          </w:p>
        </w:tc>
        <w:tc>
          <w:tcPr>
            <w:tcW w:w="1556" w:type="pct"/>
            <w:shd w:val="clear" w:color="auto" w:fill="FFC000"/>
          </w:tcPr>
          <w:p w:rsidR="00793324" w:rsidRDefault="00793324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</w:t>
            </w:r>
          </w:p>
        </w:tc>
      </w:tr>
      <w:tr w:rsidR="00793324" w:rsidTr="008E2EC2">
        <w:tc>
          <w:tcPr>
            <w:tcW w:w="2086" w:type="pct"/>
            <w:vMerge/>
            <w:shd w:val="clear" w:color="auto" w:fill="FFC000"/>
          </w:tcPr>
          <w:p w:rsidR="00793324" w:rsidRPr="009F69CF" w:rsidRDefault="00793324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8" w:type="pct"/>
            <w:shd w:val="clear" w:color="auto" w:fill="FFC000"/>
          </w:tcPr>
          <w:p w:rsidR="00793324" w:rsidRPr="009F69CF" w:rsidRDefault="00793324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9а</w:t>
            </w:r>
          </w:p>
        </w:tc>
        <w:tc>
          <w:tcPr>
            <w:tcW w:w="1556" w:type="pct"/>
            <w:shd w:val="clear" w:color="auto" w:fill="FFC000"/>
          </w:tcPr>
          <w:p w:rsidR="00793324" w:rsidRPr="009F69CF" w:rsidRDefault="00793324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42</w:t>
            </w:r>
          </w:p>
        </w:tc>
      </w:tr>
      <w:tr w:rsidR="00793324" w:rsidTr="008E2EC2">
        <w:tc>
          <w:tcPr>
            <w:tcW w:w="2086" w:type="pct"/>
            <w:vMerge/>
            <w:shd w:val="clear" w:color="auto" w:fill="FFC000"/>
          </w:tcPr>
          <w:p w:rsidR="00793324" w:rsidRPr="009F69CF" w:rsidRDefault="00793324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8" w:type="pct"/>
            <w:shd w:val="clear" w:color="auto" w:fill="FFC000"/>
          </w:tcPr>
          <w:p w:rsidR="00793324" w:rsidRDefault="00793324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7в</w:t>
            </w:r>
          </w:p>
        </w:tc>
        <w:tc>
          <w:tcPr>
            <w:tcW w:w="1556" w:type="pct"/>
            <w:shd w:val="clear" w:color="auto" w:fill="FFC000"/>
          </w:tcPr>
          <w:p w:rsidR="00793324" w:rsidRDefault="00793324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39</w:t>
            </w:r>
          </w:p>
        </w:tc>
      </w:tr>
      <w:tr w:rsidR="00793324" w:rsidTr="008E2EC2">
        <w:tc>
          <w:tcPr>
            <w:tcW w:w="2086" w:type="pct"/>
            <w:vMerge/>
            <w:shd w:val="clear" w:color="auto" w:fill="FFC000"/>
          </w:tcPr>
          <w:p w:rsidR="00793324" w:rsidRPr="009F69CF" w:rsidRDefault="00793324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8" w:type="pct"/>
            <w:shd w:val="clear" w:color="auto" w:fill="FFC000"/>
          </w:tcPr>
          <w:p w:rsidR="00793324" w:rsidRPr="009F69CF" w:rsidRDefault="00793324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1556" w:type="pct"/>
            <w:shd w:val="clear" w:color="auto" w:fill="FFC000"/>
          </w:tcPr>
          <w:p w:rsidR="00793324" w:rsidRPr="009F69CF" w:rsidRDefault="00793324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38</w:t>
            </w:r>
          </w:p>
        </w:tc>
      </w:tr>
      <w:tr w:rsidR="00793324" w:rsidTr="008E2EC2">
        <w:tc>
          <w:tcPr>
            <w:tcW w:w="2086" w:type="pct"/>
            <w:vMerge/>
            <w:shd w:val="clear" w:color="auto" w:fill="FFC000"/>
          </w:tcPr>
          <w:p w:rsidR="00793324" w:rsidRPr="009F69CF" w:rsidRDefault="00793324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8" w:type="pct"/>
            <w:shd w:val="clear" w:color="auto" w:fill="FFC000"/>
          </w:tcPr>
          <w:p w:rsidR="00793324" w:rsidRDefault="00793324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5д</w:t>
            </w:r>
          </w:p>
        </w:tc>
        <w:tc>
          <w:tcPr>
            <w:tcW w:w="1556" w:type="pct"/>
            <w:shd w:val="clear" w:color="auto" w:fill="FFC000"/>
          </w:tcPr>
          <w:p w:rsidR="00793324" w:rsidRDefault="00793324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33</w:t>
            </w:r>
          </w:p>
        </w:tc>
      </w:tr>
      <w:tr w:rsidR="00793324" w:rsidTr="008E2EC2">
        <w:tc>
          <w:tcPr>
            <w:tcW w:w="2086" w:type="pct"/>
            <w:vMerge/>
            <w:shd w:val="clear" w:color="auto" w:fill="FFC000"/>
          </w:tcPr>
          <w:p w:rsidR="00793324" w:rsidRPr="009F69CF" w:rsidRDefault="00793324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8" w:type="pct"/>
            <w:shd w:val="clear" w:color="auto" w:fill="FFC000"/>
          </w:tcPr>
          <w:p w:rsidR="00793324" w:rsidRDefault="00793324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6д</w:t>
            </w:r>
          </w:p>
        </w:tc>
        <w:tc>
          <w:tcPr>
            <w:tcW w:w="1556" w:type="pct"/>
            <w:shd w:val="clear" w:color="auto" w:fill="FFC000"/>
          </w:tcPr>
          <w:p w:rsidR="00793324" w:rsidRDefault="00793324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</w:t>
            </w:r>
          </w:p>
        </w:tc>
      </w:tr>
      <w:tr w:rsidR="0053315E" w:rsidTr="008E2EC2">
        <w:tc>
          <w:tcPr>
            <w:tcW w:w="2086" w:type="pct"/>
            <w:vMerge w:val="restart"/>
            <w:shd w:val="clear" w:color="auto" w:fill="0070C0"/>
          </w:tcPr>
          <w:p w:rsidR="0053315E" w:rsidRDefault="0053315E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69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Низкий уровень</w:t>
            </w:r>
          </w:p>
          <w:p w:rsidR="0053315E" w:rsidRPr="009F69CF" w:rsidRDefault="0053315E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7%-30%</w:t>
            </w:r>
          </w:p>
        </w:tc>
        <w:tc>
          <w:tcPr>
            <w:tcW w:w="1358" w:type="pct"/>
            <w:shd w:val="clear" w:color="auto" w:fill="0070C0"/>
          </w:tcPr>
          <w:p w:rsidR="0053315E" w:rsidRPr="009F69CF" w:rsidRDefault="0053315E" w:rsidP="00533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6б</w:t>
            </w:r>
          </w:p>
        </w:tc>
        <w:tc>
          <w:tcPr>
            <w:tcW w:w="1556" w:type="pct"/>
            <w:shd w:val="clear" w:color="auto" w:fill="0070C0"/>
          </w:tcPr>
          <w:p w:rsidR="0053315E" w:rsidRPr="009F69CF" w:rsidRDefault="0053315E" w:rsidP="00533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</w:tr>
      <w:tr w:rsidR="00793324" w:rsidTr="008E2EC2">
        <w:tc>
          <w:tcPr>
            <w:tcW w:w="2086" w:type="pct"/>
            <w:vMerge/>
            <w:shd w:val="clear" w:color="auto" w:fill="0070C0"/>
          </w:tcPr>
          <w:p w:rsidR="00793324" w:rsidRPr="009F69CF" w:rsidRDefault="00793324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8" w:type="pct"/>
            <w:shd w:val="clear" w:color="auto" w:fill="0070C0"/>
          </w:tcPr>
          <w:p w:rsidR="00793324" w:rsidRDefault="00793324" w:rsidP="00533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7г</w:t>
            </w:r>
          </w:p>
        </w:tc>
        <w:tc>
          <w:tcPr>
            <w:tcW w:w="1556" w:type="pct"/>
            <w:shd w:val="clear" w:color="auto" w:fill="0070C0"/>
          </w:tcPr>
          <w:p w:rsidR="00793324" w:rsidRDefault="00793324" w:rsidP="00533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</w:t>
            </w:r>
          </w:p>
        </w:tc>
      </w:tr>
      <w:tr w:rsidR="00793324" w:rsidTr="008E2EC2">
        <w:tc>
          <w:tcPr>
            <w:tcW w:w="2086" w:type="pct"/>
            <w:vMerge/>
            <w:shd w:val="clear" w:color="auto" w:fill="0070C0"/>
          </w:tcPr>
          <w:p w:rsidR="00793324" w:rsidRPr="009F69CF" w:rsidRDefault="00793324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8" w:type="pct"/>
            <w:shd w:val="clear" w:color="auto" w:fill="0070C0"/>
          </w:tcPr>
          <w:p w:rsidR="00793324" w:rsidRDefault="00793324" w:rsidP="00533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9г</w:t>
            </w:r>
          </w:p>
        </w:tc>
        <w:tc>
          <w:tcPr>
            <w:tcW w:w="1556" w:type="pct"/>
            <w:shd w:val="clear" w:color="auto" w:fill="0070C0"/>
          </w:tcPr>
          <w:p w:rsidR="00793324" w:rsidRDefault="00793324" w:rsidP="00533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</w:p>
        </w:tc>
      </w:tr>
      <w:tr w:rsidR="00793324" w:rsidTr="008E2EC2">
        <w:tc>
          <w:tcPr>
            <w:tcW w:w="2086" w:type="pct"/>
            <w:vMerge/>
            <w:shd w:val="clear" w:color="auto" w:fill="0070C0"/>
          </w:tcPr>
          <w:p w:rsidR="00793324" w:rsidRPr="009F69CF" w:rsidRDefault="00793324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8" w:type="pct"/>
            <w:shd w:val="clear" w:color="auto" w:fill="0070C0"/>
          </w:tcPr>
          <w:p w:rsidR="00793324" w:rsidRDefault="00793324" w:rsidP="00533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8г</w:t>
            </w:r>
          </w:p>
        </w:tc>
        <w:tc>
          <w:tcPr>
            <w:tcW w:w="1556" w:type="pct"/>
            <w:shd w:val="clear" w:color="auto" w:fill="0070C0"/>
          </w:tcPr>
          <w:p w:rsidR="00793324" w:rsidRDefault="00793324" w:rsidP="00533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</w:tr>
      <w:tr w:rsidR="0053315E" w:rsidTr="008E2EC2">
        <w:tc>
          <w:tcPr>
            <w:tcW w:w="2086" w:type="pct"/>
            <w:vMerge/>
            <w:shd w:val="clear" w:color="auto" w:fill="0070C0"/>
          </w:tcPr>
          <w:p w:rsidR="0053315E" w:rsidRPr="009F69CF" w:rsidRDefault="0053315E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8" w:type="pct"/>
            <w:shd w:val="clear" w:color="auto" w:fill="0070C0"/>
          </w:tcPr>
          <w:p w:rsidR="0053315E" w:rsidRPr="009F69CF" w:rsidRDefault="0053315E" w:rsidP="00533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7б</w:t>
            </w:r>
            <w:r w:rsidR="007933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9д</w:t>
            </w:r>
          </w:p>
        </w:tc>
        <w:tc>
          <w:tcPr>
            <w:tcW w:w="1556" w:type="pct"/>
            <w:shd w:val="clear" w:color="auto" w:fill="0070C0"/>
          </w:tcPr>
          <w:p w:rsidR="0053315E" w:rsidRPr="009F69CF" w:rsidRDefault="0053315E" w:rsidP="00533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</w:t>
            </w:r>
          </w:p>
        </w:tc>
      </w:tr>
      <w:tr w:rsidR="0053315E" w:rsidTr="008E2EC2">
        <w:tc>
          <w:tcPr>
            <w:tcW w:w="2086" w:type="pct"/>
            <w:vMerge/>
            <w:shd w:val="clear" w:color="auto" w:fill="0070C0"/>
          </w:tcPr>
          <w:p w:rsidR="0053315E" w:rsidRPr="009F69CF" w:rsidRDefault="0053315E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8" w:type="pct"/>
            <w:shd w:val="clear" w:color="auto" w:fill="0070C0"/>
          </w:tcPr>
          <w:p w:rsidR="0053315E" w:rsidRPr="009F69CF" w:rsidRDefault="0053315E" w:rsidP="00533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9в</w:t>
            </w:r>
          </w:p>
        </w:tc>
        <w:tc>
          <w:tcPr>
            <w:tcW w:w="1556" w:type="pct"/>
            <w:shd w:val="clear" w:color="auto" w:fill="0070C0"/>
          </w:tcPr>
          <w:p w:rsidR="0053315E" w:rsidRPr="009F69CF" w:rsidRDefault="0053315E" w:rsidP="00533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</w:tr>
      <w:tr w:rsidR="0053315E" w:rsidTr="008E2EC2">
        <w:tc>
          <w:tcPr>
            <w:tcW w:w="2086" w:type="pct"/>
            <w:vMerge/>
            <w:shd w:val="clear" w:color="auto" w:fill="0070C0"/>
          </w:tcPr>
          <w:p w:rsidR="0053315E" w:rsidRPr="009F69CF" w:rsidRDefault="0053315E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8" w:type="pct"/>
            <w:shd w:val="clear" w:color="auto" w:fill="0070C0"/>
          </w:tcPr>
          <w:p w:rsidR="0053315E" w:rsidRPr="009F69CF" w:rsidRDefault="0053315E" w:rsidP="00533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9б</w:t>
            </w:r>
          </w:p>
        </w:tc>
        <w:tc>
          <w:tcPr>
            <w:tcW w:w="1556" w:type="pct"/>
            <w:shd w:val="clear" w:color="auto" w:fill="0070C0"/>
          </w:tcPr>
          <w:p w:rsidR="0053315E" w:rsidRPr="009F69CF" w:rsidRDefault="0053315E" w:rsidP="00533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</w:tr>
      <w:tr w:rsidR="0053315E" w:rsidTr="008E2EC2">
        <w:tc>
          <w:tcPr>
            <w:tcW w:w="2086" w:type="pct"/>
            <w:vMerge/>
            <w:shd w:val="clear" w:color="auto" w:fill="0070C0"/>
          </w:tcPr>
          <w:p w:rsidR="0053315E" w:rsidRPr="009F69CF" w:rsidRDefault="0053315E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8" w:type="pct"/>
            <w:shd w:val="clear" w:color="auto" w:fill="0070C0"/>
          </w:tcPr>
          <w:p w:rsidR="0053315E" w:rsidRPr="009F69CF" w:rsidRDefault="0053315E" w:rsidP="00533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8в</w:t>
            </w:r>
          </w:p>
        </w:tc>
        <w:tc>
          <w:tcPr>
            <w:tcW w:w="1556" w:type="pct"/>
            <w:shd w:val="clear" w:color="auto" w:fill="0070C0"/>
          </w:tcPr>
          <w:p w:rsidR="0053315E" w:rsidRPr="009F69CF" w:rsidRDefault="0053315E" w:rsidP="00533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</w:p>
        </w:tc>
      </w:tr>
      <w:tr w:rsidR="00793324" w:rsidTr="008E2EC2">
        <w:tc>
          <w:tcPr>
            <w:tcW w:w="2086" w:type="pct"/>
            <w:vMerge/>
            <w:shd w:val="clear" w:color="auto" w:fill="0070C0"/>
          </w:tcPr>
          <w:p w:rsidR="00793324" w:rsidRPr="009F69CF" w:rsidRDefault="00793324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8" w:type="pct"/>
            <w:shd w:val="clear" w:color="auto" w:fill="0070C0"/>
          </w:tcPr>
          <w:p w:rsidR="00793324" w:rsidRDefault="00793324" w:rsidP="00533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8д</w:t>
            </w:r>
          </w:p>
        </w:tc>
        <w:tc>
          <w:tcPr>
            <w:tcW w:w="1556" w:type="pct"/>
            <w:shd w:val="clear" w:color="auto" w:fill="0070C0"/>
          </w:tcPr>
          <w:p w:rsidR="00793324" w:rsidRDefault="00793324" w:rsidP="00533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</w:tr>
      <w:tr w:rsidR="0053315E" w:rsidTr="008E2EC2">
        <w:tc>
          <w:tcPr>
            <w:tcW w:w="2086" w:type="pct"/>
            <w:vMerge/>
            <w:shd w:val="clear" w:color="auto" w:fill="0070C0"/>
          </w:tcPr>
          <w:p w:rsidR="0053315E" w:rsidRPr="009F69CF" w:rsidRDefault="0053315E" w:rsidP="00562F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8" w:type="pct"/>
            <w:shd w:val="clear" w:color="auto" w:fill="0070C0"/>
          </w:tcPr>
          <w:p w:rsidR="0053315E" w:rsidRPr="009F69CF" w:rsidRDefault="0053315E" w:rsidP="00533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8б</w:t>
            </w:r>
          </w:p>
        </w:tc>
        <w:tc>
          <w:tcPr>
            <w:tcW w:w="1556" w:type="pct"/>
            <w:shd w:val="clear" w:color="auto" w:fill="0070C0"/>
          </w:tcPr>
          <w:p w:rsidR="0053315E" w:rsidRPr="0053315E" w:rsidRDefault="0053315E" w:rsidP="00533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31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BA59F7" w:rsidRDefault="00BA59F7"/>
    <w:p w:rsidR="003910E1" w:rsidRDefault="003910E1"/>
    <w:p w:rsidR="003910E1" w:rsidRDefault="00ED117D" w:rsidP="00ED117D">
      <w:r>
        <w:br w:type="page"/>
      </w:r>
      <w:r w:rsidRPr="00ED117D">
        <w:lastRenderedPageBreak/>
        <w:drawing>
          <wp:inline distT="0" distB="0" distL="0" distR="0">
            <wp:extent cx="9744075" cy="505777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3910E1" w:rsidSect="00ED11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EC2"/>
    <w:rsid w:val="000A2030"/>
    <w:rsid w:val="003910E1"/>
    <w:rsid w:val="00503035"/>
    <w:rsid w:val="0053315E"/>
    <w:rsid w:val="006C6B55"/>
    <w:rsid w:val="00793324"/>
    <w:rsid w:val="008E2EC2"/>
    <w:rsid w:val="00AB5EF2"/>
    <w:rsid w:val="00BA59F7"/>
    <w:rsid w:val="00DE298E"/>
    <w:rsid w:val="00ED117D"/>
    <w:rsid w:val="00FB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FFC000"/>
              </a:solidFill>
            </c:spPr>
          </c:dPt>
          <c:dPt>
            <c:idx val="5"/>
            <c:spPr>
              <a:solidFill>
                <a:srgbClr val="FFC000"/>
              </a:solidFill>
            </c:spPr>
          </c:dPt>
          <c:dPt>
            <c:idx val="6"/>
            <c:spPr>
              <a:solidFill>
                <a:srgbClr val="FFC000"/>
              </a:solidFill>
            </c:spPr>
          </c:dPt>
          <c:dPt>
            <c:idx val="7"/>
            <c:spPr>
              <a:solidFill>
                <a:srgbClr val="FFC000"/>
              </a:solidFill>
            </c:spPr>
          </c:dPt>
          <c:dPt>
            <c:idx val="8"/>
            <c:spPr>
              <a:solidFill>
                <a:srgbClr val="FFC000"/>
              </a:solidFill>
            </c:spPr>
          </c:dPt>
          <c:dPt>
            <c:idx val="9"/>
            <c:spPr>
              <a:solidFill>
                <a:srgbClr val="FFC000"/>
              </a:solidFill>
            </c:spPr>
          </c:dPt>
          <c:dPt>
            <c:idx val="10"/>
            <c:spPr>
              <a:solidFill>
                <a:srgbClr val="FFC000"/>
              </a:solidFill>
            </c:spPr>
          </c:dPt>
          <c:dPt>
            <c:idx val="11"/>
            <c:spPr>
              <a:solidFill>
                <a:srgbClr val="FFC000"/>
              </a:solidFill>
            </c:spPr>
          </c:dPt>
          <c:dPt>
            <c:idx val="12"/>
            <c:spPr>
              <a:solidFill>
                <a:srgbClr val="FFC000"/>
              </a:solidFill>
            </c:spPr>
          </c:dPt>
          <c:dLbls>
            <c:showVal val="1"/>
          </c:dLbls>
          <c:cat>
            <c:multiLvlStrRef>
              <c:f>Лист1!$A$1:$B$23</c:f>
              <c:multiLvlStrCache>
                <c:ptCount val="23"/>
                <c:lvl>
                  <c:pt idx="0">
                    <c:v>6а</c:v>
                  </c:pt>
                  <c:pt idx="1">
                    <c:v>5в</c:v>
                  </c:pt>
                  <c:pt idx="2">
                    <c:v>8а</c:v>
                  </c:pt>
                  <c:pt idx="3">
                    <c:v>6в</c:v>
                  </c:pt>
                  <c:pt idx="4">
                    <c:v>5а</c:v>
                  </c:pt>
                  <c:pt idx="5">
                    <c:v>7а</c:v>
                  </c:pt>
                  <c:pt idx="6">
                    <c:v>5г</c:v>
                  </c:pt>
                  <c:pt idx="7">
                    <c:v>6г</c:v>
                  </c:pt>
                  <c:pt idx="8">
                    <c:v>9а</c:v>
                  </c:pt>
                  <c:pt idx="9">
                    <c:v>7в</c:v>
                  </c:pt>
                  <c:pt idx="10">
                    <c:v>5б</c:v>
                  </c:pt>
                  <c:pt idx="11">
                    <c:v>5д</c:v>
                  </c:pt>
                  <c:pt idx="12">
                    <c:v>6д</c:v>
                  </c:pt>
                  <c:pt idx="13">
                    <c:v>6б</c:v>
                  </c:pt>
                  <c:pt idx="14">
                    <c:v>7г</c:v>
                  </c:pt>
                  <c:pt idx="15">
                    <c:v>9г</c:v>
                  </c:pt>
                  <c:pt idx="16">
                    <c:v>8г</c:v>
                  </c:pt>
                  <c:pt idx="17">
                    <c:v>7б  9д</c:v>
                  </c:pt>
                  <c:pt idx="18">
                    <c:v>9в</c:v>
                  </c:pt>
                  <c:pt idx="19">
                    <c:v>9б</c:v>
                  </c:pt>
                  <c:pt idx="20">
                    <c:v>8в</c:v>
                  </c:pt>
                  <c:pt idx="21">
                    <c:v>8д</c:v>
                  </c:pt>
                  <c:pt idx="22">
                    <c:v>8б</c:v>
                  </c:pt>
                </c:lvl>
                <c:lvl>
                  <c:pt idx="0">
                    <c:v>Высокий уровень</c:v>
                  </c:pt>
                  <c:pt idx="1">
                    <c:v>56% -79%</c:v>
                  </c:pt>
                  <c:pt idx="4">
                    <c:v>Средний уровень</c:v>
                  </c:pt>
                  <c:pt idx="5">
                    <c:v>31%-55%</c:v>
                  </c:pt>
                  <c:pt idx="13">
                    <c:v>Низкий уровень</c:v>
                  </c:pt>
                  <c:pt idx="14">
                    <c:v>7%-30%</c:v>
                  </c:pt>
                </c:lvl>
              </c:multiLvlStrCache>
            </c:multiLvlStrRef>
          </c:cat>
          <c:val>
            <c:numRef>
              <c:f>Лист1!$C$1:$C$23</c:f>
              <c:numCache>
                <c:formatCode>General</c:formatCode>
                <c:ptCount val="23"/>
                <c:pt idx="0">
                  <c:v>79</c:v>
                </c:pt>
                <c:pt idx="1">
                  <c:v>68</c:v>
                </c:pt>
                <c:pt idx="2">
                  <c:v>67</c:v>
                </c:pt>
                <c:pt idx="3">
                  <c:v>64</c:v>
                </c:pt>
                <c:pt idx="4">
                  <c:v>50</c:v>
                </c:pt>
                <c:pt idx="5">
                  <c:v>50</c:v>
                </c:pt>
                <c:pt idx="6">
                  <c:v>48</c:v>
                </c:pt>
                <c:pt idx="7">
                  <c:v>45</c:v>
                </c:pt>
                <c:pt idx="8">
                  <c:v>42</c:v>
                </c:pt>
                <c:pt idx="9">
                  <c:v>39</c:v>
                </c:pt>
                <c:pt idx="10">
                  <c:v>38</c:v>
                </c:pt>
                <c:pt idx="11">
                  <c:v>33</c:v>
                </c:pt>
                <c:pt idx="12">
                  <c:v>31</c:v>
                </c:pt>
                <c:pt idx="13">
                  <c:v>30</c:v>
                </c:pt>
                <c:pt idx="14">
                  <c:v>28</c:v>
                </c:pt>
                <c:pt idx="15">
                  <c:v>25</c:v>
                </c:pt>
                <c:pt idx="16">
                  <c:v>22</c:v>
                </c:pt>
                <c:pt idx="17">
                  <c:v>21</c:v>
                </c:pt>
                <c:pt idx="18">
                  <c:v>19</c:v>
                </c:pt>
                <c:pt idx="19">
                  <c:v>18</c:v>
                </c:pt>
                <c:pt idx="20">
                  <c:v>17</c:v>
                </c:pt>
                <c:pt idx="21">
                  <c:v>10</c:v>
                </c:pt>
                <c:pt idx="22">
                  <c:v>7</c:v>
                </c:pt>
              </c:numCache>
            </c:numRef>
          </c:val>
        </c:ser>
        <c:shape val="cylinder"/>
        <c:axId val="128670720"/>
        <c:axId val="128672512"/>
        <c:axId val="0"/>
      </c:bar3DChart>
      <c:catAx>
        <c:axId val="128670720"/>
        <c:scaling>
          <c:orientation val="minMax"/>
        </c:scaling>
        <c:axPos val="b"/>
        <c:tickLblPos val="nextTo"/>
        <c:crossAx val="128672512"/>
        <c:crosses val="autoZero"/>
        <c:auto val="1"/>
        <c:lblAlgn val="ctr"/>
        <c:lblOffset val="100"/>
      </c:catAx>
      <c:valAx>
        <c:axId val="128672512"/>
        <c:scaling>
          <c:orientation val="minMax"/>
        </c:scaling>
        <c:axPos val="l"/>
        <c:majorGridlines/>
        <c:numFmt formatCode="General" sourceLinked="1"/>
        <c:tickLblPos val="nextTo"/>
        <c:crossAx val="1286707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Учитель</cp:lastModifiedBy>
  <cp:revision>2</cp:revision>
  <dcterms:created xsi:type="dcterms:W3CDTF">2017-04-08T15:46:00Z</dcterms:created>
  <dcterms:modified xsi:type="dcterms:W3CDTF">2017-04-08T15:46:00Z</dcterms:modified>
</cp:coreProperties>
</file>